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合江县农村收运体系建设巩固提升项目垃圾收集车辆采购</w:t>
      </w:r>
    </w:p>
    <w:p>
      <w:pPr>
        <w:pStyle w:val="2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询价报价表（第二次）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exact"/>
        <w:ind w:firstLine="480" w:firstLineChars="200"/>
        <w:textAlignment w:val="auto"/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采购内容：采购垃圾收集车辆4台（先滩镇、福宝镇、凤鸣镇、车辋镇各1台，包含车辆上牌，车辆首次强制保险及商业险，其中商业险不低于150万元）。</w:t>
      </w:r>
    </w:p>
    <w:tbl>
      <w:tblPr>
        <w:tblStyle w:val="5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835"/>
        <w:gridCol w:w="1265"/>
        <w:gridCol w:w="1628"/>
        <w:gridCol w:w="7395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货物名称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数量（辆）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（元/辆）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合价（元）</w:t>
            </w:r>
          </w:p>
        </w:tc>
        <w:tc>
          <w:tcPr>
            <w:tcW w:w="7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报价参数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压缩垃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圾车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/>
              </w:rPr>
            </w:pPr>
          </w:p>
        </w:tc>
        <w:tc>
          <w:tcPr>
            <w:tcW w:w="7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▲外形尺寸：长×宽×高（mm）≥7730×2510×3050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▲整备质量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(Kg)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≥7380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▲额定质量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(Kg)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≥4280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▲接近角（°）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≥16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▲离去角（°）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≥13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▲前悬/后悬（mm）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≤1430/2850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▲最高车速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(Km/h)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≥110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8.发动机核定功率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（Kw）：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125；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9.最小离地间隙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（mm）：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200；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 w:eastAsia="zh-CN"/>
              </w:rPr>
              <w:t>垃圾箱有效容积（m3）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≥11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</w:t>
            </w:r>
            <w:r>
              <w:rPr>
                <w:rFonts w:hint="default"/>
                <w:lang w:val="en-US" w:eastAsia="zh-CN"/>
              </w:rPr>
              <w:t>压缩循环时间s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上料循环时间s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default"/>
                <w:lang w:val="en-US" w:eastAsia="zh-CN"/>
              </w:rPr>
              <w:t>卸料作业循环时间（s）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default"/>
                <w:lang w:val="en-US" w:eastAsia="zh-CN"/>
              </w:rPr>
              <w:t>控制方式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手动/自动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default"/>
                <w:lang w:val="en-US" w:eastAsia="zh-CN"/>
              </w:rPr>
              <w:t>主要构件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垃圾箱底部设计有填装器锁紧机构；填装器前端面装有密封条，并与垃圾箱后端面形成密封结构，有效防止污水泄漏；填装器底部装有污水箱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上料机构为翻桶型，可翻120L/240L/660L垃圾桶。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default"/>
                <w:lang w:val="en-US" w:eastAsia="zh-CN"/>
              </w:rPr>
              <w:t>排料方式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推铲采用液压油缸驱动垃圾箱下沿轨道滑动，完成卸料作业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可进行水平卸料。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控制方式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采用“CAN 总线+专用控制器模式”，发动机功率输出控制即油门控制通过电气系统实现全自动控制。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8.</w:t>
            </w:r>
            <w:r>
              <w:rPr>
                <w:rFonts w:hint="default"/>
                <w:lang w:val="en-US" w:eastAsia="zh-CN"/>
              </w:rPr>
              <w:t>安全配置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配备语音报警系统，作业时发出语音报警和提示信息填装器上设有安全撑杆，填装器左侧和右侧设置的紧停止按钮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总价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***元（大写：   元）</w:t>
            </w:r>
          </w:p>
        </w:tc>
        <w:tc>
          <w:tcPr>
            <w:tcW w:w="7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本次报价需考虑满足货物参数需求，包含货物运输、税金、上户、保险等费用。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1.</w:t>
      </w:r>
      <w:r>
        <w:rPr>
          <w:rFonts w:hint="eastAsia" w:eastAsia="宋体"/>
          <w:lang w:val="zh-CN"/>
        </w:rPr>
        <w:t>技术参数要求中标“▲”参数投标人须在投标文件中提供国家工信部《道路机动车车辆生产企业及产品公告》公告参数</w:t>
      </w:r>
      <w:r>
        <w:rPr>
          <w:rFonts w:hint="eastAsia" w:eastAsia="宋体"/>
          <w:lang w:val="en-US" w:eastAsia="zh-Hans"/>
        </w:rPr>
        <w:t>页中标注并</w:t>
      </w:r>
      <w:r>
        <w:rPr>
          <w:rFonts w:hint="eastAsia" w:eastAsia="宋体"/>
          <w:lang w:val="zh-CN"/>
        </w:rPr>
        <w:t xml:space="preserve">加盖投标人公章。 </w:t>
      </w:r>
      <w:r>
        <w:rPr>
          <w:rFonts w:hint="eastAsia" w:eastAsia="宋体"/>
          <w:lang w:val="en-US" w:eastAsia="zh-CN"/>
        </w:rPr>
        <w:t>2.供应单位需提供2个2021年1月1日-至今业绩证明（采购合同、中标通知书）。</w:t>
      </w:r>
      <w:r>
        <w:rPr>
          <w:rFonts w:hint="eastAsia"/>
          <w:lang w:val="en-US" w:eastAsia="zh-CN"/>
        </w:rPr>
        <w:t xml:space="preserve"> </w:t>
      </w:r>
    </w:p>
    <w:p>
      <w:pPr>
        <w:jc w:val="both"/>
        <w:rPr>
          <w:rFonts w:hint="default" w:eastAsia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</w:t>
      </w:r>
      <w:r>
        <w:rPr>
          <w:rFonts w:hint="eastAsia"/>
          <w:szCs w:val="21"/>
          <w:lang w:val="en-US" w:eastAsia="zh-CN"/>
        </w:rPr>
        <w:t>供货</w:t>
      </w:r>
      <w:r>
        <w:rPr>
          <w:rFonts w:hint="eastAsia"/>
          <w:szCs w:val="21"/>
        </w:rPr>
        <w:t xml:space="preserve">单位名称： (盖章)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</w:t>
      </w:r>
      <w:r>
        <w:rPr>
          <w:rFonts w:hint="eastAsia"/>
          <w:szCs w:val="21"/>
        </w:rPr>
        <w:t xml:space="preserve">法定代表人或委托代理人： (签字)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通讯地址：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邮政编码：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center"/>
        <w:textAlignment w:val="auto"/>
      </w:pPr>
      <w:r>
        <w:rPr>
          <w:rFonts w:hint="eastAsia"/>
          <w:szCs w:val="21"/>
          <w:lang w:val="en-US" w:eastAsia="zh-CN"/>
        </w:rPr>
        <w:t xml:space="preserve">                                 </w:t>
      </w:r>
      <w:r>
        <w:rPr>
          <w:rFonts w:hint="eastAsia"/>
          <w:szCs w:val="21"/>
        </w:rPr>
        <w:t>日 期：  年   月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TC-5b8b*+time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WIzZDlhOGMzMDBiNTY2MjljNGFmNDliODlhNTkifQ=="/>
  </w:docVars>
  <w:rsids>
    <w:rsidRoot w:val="00000000"/>
    <w:rsid w:val="04AD6E28"/>
    <w:rsid w:val="0DB90E22"/>
    <w:rsid w:val="194D4E5C"/>
    <w:rsid w:val="1E207B71"/>
    <w:rsid w:val="27B14A70"/>
    <w:rsid w:val="3BAD2762"/>
    <w:rsid w:val="3FE51E0B"/>
    <w:rsid w:val="46F97EB0"/>
    <w:rsid w:val="4A9A19D8"/>
    <w:rsid w:val="52C56B9D"/>
    <w:rsid w:val="5B385608"/>
    <w:rsid w:val="5F9759C9"/>
    <w:rsid w:val="5FBD5985"/>
    <w:rsid w:val="645E2C9E"/>
    <w:rsid w:val="69E41601"/>
    <w:rsid w:val="6AAF469D"/>
    <w:rsid w:val="6BCC7BF4"/>
    <w:rsid w:val="75B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2"/>
    <w:next w:val="1"/>
    <w:autoRedefine/>
    <w:qFormat/>
    <w:uiPriority w:val="0"/>
    <w:pPr>
      <w:ind w:firstLine="420" w:firstLineChars="100"/>
    </w:pPr>
    <w:rPr>
      <w:szCs w:val="20"/>
    </w:rPr>
  </w:style>
  <w:style w:type="paragraph" w:styleId="7">
    <w:name w:val="Quote"/>
    <w:next w:val="1"/>
    <w:autoRedefine/>
    <w:qFormat/>
    <w:uiPriority w:val="99"/>
    <w:pPr>
      <w:widowControl w:val="0"/>
      <w:jc w:val="both"/>
    </w:pPr>
    <w:rPr>
      <w:rFonts w:ascii="Calibri" w:hAnsi="Calibri" w:cs="Calibri" w:eastAsiaTheme="minorEastAsia"/>
      <w:i/>
      <w:iCs/>
      <w:color w:val="000000"/>
      <w:kern w:val="2"/>
      <w:sz w:val="22"/>
      <w:szCs w:val="24"/>
      <w:lang w:val="en-US" w:eastAsia="zh-CN" w:bidi="ar-SA"/>
    </w:rPr>
  </w:style>
  <w:style w:type="character" w:customStyle="1" w:styleId="8">
    <w:name w:val="标题 1 Char"/>
    <w:link w:val="3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1664</Words>
  <Characters>2218</Characters>
  <Lines>0</Lines>
  <Paragraphs>0</Paragraphs>
  <TotalTime>0</TotalTime>
  <ScaleCrop>false</ScaleCrop>
  <LinksUpToDate>false</LinksUpToDate>
  <CharactersWithSpaces>2470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2023-04-20T08:51:00Z</dcterms:created>
  <dc:creator>Administrator</dc:creator>
  <cp:lastModifiedBy>小王</cp:lastModifiedBy>
  <dcterms:modified xsi:type="dcterms:W3CDTF">2024-01-15T08:01:56Z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3E139E6B612645B9AD841080CFD44820_12</vt:lpwstr>
  </property>
</Properties>
</file>